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43" w:rsidRPr="0050458F" w:rsidRDefault="0050458F" w:rsidP="0050458F">
      <w:pPr>
        <w:pStyle w:val="Rubrik2"/>
      </w:pPr>
      <w:r w:rsidRPr="0050458F">
        <w:t>Månadens väder</w:t>
      </w:r>
      <w:r w:rsidRPr="0050458F">
        <w:tab/>
      </w:r>
      <w:r w:rsidR="00D33542" w:rsidRPr="0050458F">
        <w:t>april</w:t>
      </w:r>
      <w:r w:rsidRPr="0050458F">
        <w:t xml:space="preserve"> 2008</w:t>
      </w:r>
    </w:p>
    <w:p w:rsidR="0050458F" w:rsidRDefault="0050458F"/>
    <w:p w:rsidR="009374D0" w:rsidRDefault="00F70CD9" w:rsidP="009374D0">
      <w:pPr>
        <w:rPr>
          <w:bCs/>
          <w:iCs/>
        </w:rPr>
      </w:pPr>
      <w:r w:rsidRPr="00773A71">
        <w:rPr>
          <w:bCs/>
          <w:iCs/>
        </w:rPr>
        <w:t>Året</w:t>
      </w:r>
      <w:r w:rsidR="00D33542">
        <w:rPr>
          <w:bCs/>
          <w:iCs/>
        </w:rPr>
        <w:t>s</w:t>
      </w:r>
      <w:r w:rsidRPr="00773A71">
        <w:rPr>
          <w:bCs/>
          <w:iCs/>
        </w:rPr>
        <w:t xml:space="preserve"> fjärde månad avlöpte tämligen händelselöst och bekymmersfritt</w:t>
      </w:r>
      <w:r>
        <w:rPr>
          <w:bCs/>
          <w:iCs/>
        </w:rPr>
        <w:t xml:space="preserve">. Med risk för att vara tjatig så var april varmare än normalt vilket var den </w:t>
      </w:r>
      <w:r w:rsidR="00D33542">
        <w:rPr>
          <w:bCs/>
          <w:iCs/>
        </w:rPr>
        <w:t>22</w:t>
      </w:r>
      <w:r>
        <w:rPr>
          <w:bCs/>
          <w:iCs/>
        </w:rPr>
        <w:t xml:space="preserve"> gången i ordningen under de sista </w:t>
      </w:r>
      <w:r w:rsidR="00D33542">
        <w:rPr>
          <w:bCs/>
          <w:iCs/>
        </w:rPr>
        <w:t xml:space="preserve">23 </w:t>
      </w:r>
      <w:r>
        <w:rPr>
          <w:bCs/>
          <w:iCs/>
        </w:rPr>
        <w:t>åren. Överskottet stannade i år på drygt 2 grader. Nederbörden var mindre än normalt och ungefär halva normalmängden föll över kommunen och då som mest i första halvan av månaden då lågtrycken i väster och söder fortfarande hade en gnutta krut kvar att sända fram ett antal svaga fronter. Från mitten av månaden lades väderbilden om och ett högtrycksområde bildades över Norska havet med en rygg in över mellersta Skandinavien. Trycket i centrum var inte speciellt men högtrycket var omfattande i alla nivåer och styrde lågtrycken i en bana över centrala Europa där rätt stora nederbördsmängder uppmättes. Under högtrycksinflytandet upphörde äntligen den långa blöta period vi haft under</w:t>
      </w:r>
      <w:r w:rsidR="009374D0">
        <w:rPr>
          <w:bCs/>
          <w:iCs/>
        </w:rPr>
        <w:t xml:space="preserve"> ett flertal månader. Luften som hämtades norrifrån var rätt kylig med rätt allmän frost</w:t>
      </w:r>
      <w:r w:rsidR="00D33542">
        <w:rPr>
          <w:bCs/>
          <w:iCs/>
        </w:rPr>
        <w:t>.  M</w:t>
      </w:r>
      <w:r w:rsidR="009374D0">
        <w:rPr>
          <w:bCs/>
          <w:iCs/>
        </w:rPr>
        <w:t>ed solens hjälp uppvärmdes</w:t>
      </w:r>
      <w:r w:rsidR="00D33542">
        <w:rPr>
          <w:bCs/>
          <w:iCs/>
        </w:rPr>
        <w:t xml:space="preserve"> luften, </w:t>
      </w:r>
      <w:r w:rsidR="009374D0">
        <w:rPr>
          <w:bCs/>
          <w:iCs/>
        </w:rPr>
        <w:t>under de allt längre dag</w:t>
      </w:r>
      <w:r w:rsidR="00D33542">
        <w:rPr>
          <w:bCs/>
          <w:iCs/>
        </w:rPr>
        <w:t>ar</w:t>
      </w:r>
      <w:r w:rsidR="007D0060">
        <w:rPr>
          <w:bCs/>
          <w:iCs/>
        </w:rPr>
        <w:t>na,</w:t>
      </w:r>
      <w:r w:rsidR="009374D0">
        <w:rPr>
          <w:bCs/>
          <w:iCs/>
        </w:rPr>
        <w:t xml:space="preserve"> till dagstemperaturer omkring 15 grader. Medeldagen för sista nattfrost brukar vara runt den 15 för Hallands kustområden medan inlandet får dras med frostrisken ytterligare en månad. Under årets månad låg faktiskt statistiken nära verkligheten då frosten upphörde i den vevan för kustbandet.</w:t>
      </w:r>
    </w:p>
    <w:p w:rsidR="00F70CD9" w:rsidRDefault="00F70CD9" w:rsidP="00F70CD9">
      <w:pPr>
        <w:rPr>
          <w:bCs/>
          <w:iCs/>
        </w:rPr>
      </w:pPr>
    </w:p>
    <w:p w:rsidR="00F70CD9" w:rsidRDefault="00F70CD9" w:rsidP="00F70CD9">
      <w:pPr>
        <w:rPr>
          <w:bCs/>
          <w:iCs/>
        </w:rPr>
      </w:pPr>
      <w:r>
        <w:rPr>
          <w:bCs/>
          <w:iCs/>
        </w:rPr>
        <w:t xml:space="preserve">Den torra luften </w:t>
      </w:r>
      <w:r w:rsidR="009374D0">
        <w:rPr>
          <w:bCs/>
          <w:iCs/>
        </w:rPr>
        <w:t xml:space="preserve">som fördes ner </w:t>
      </w:r>
      <w:r>
        <w:rPr>
          <w:bCs/>
          <w:iCs/>
        </w:rPr>
        <w:t xml:space="preserve">medförde även att avdunstningen ökade och marken blev i slutet av månaden tämligen torr. Under </w:t>
      </w:r>
      <w:r w:rsidR="009374D0">
        <w:rPr>
          <w:bCs/>
          <w:iCs/>
        </w:rPr>
        <w:t>slutdelen</w:t>
      </w:r>
      <w:r>
        <w:rPr>
          <w:bCs/>
          <w:iCs/>
        </w:rPr>
        <w:t xml:space="preserve"> av månaden uppmättes mellan 15-20 % i relativ fuktighet. Det är endast under april och maj som så pass låga värden kan uppmättas i våra delar av landet. Orsaken ligger i att den kalla luften uppvärms kraftigt dagtid och då förändras den relativa fuktigheten. Tänk tanken att en kub med sidan 1m innehåller exempelvis 1000 vattenmolekyler</w:t>
      </w:r>
      <w:r w:rsidR="009374D0">
        <w:rPr>
          <w:bCs/>
          <w:iCs/>
        </w:rPr>
        <w:t xml:space="preserve"> i gasform</w:t>
      </w:r>
      <w:r>
        <w:rPr>
          <w:bCs/>
          <w:iCs/>
        </w:rPr>
        <w:t xml:space="preserve"> svävande i luften. Vid uppvärmningen av luften utvidgas den och kuben växer till att ha en sida på 2m. Det innebär att samma 1000 </w:t>
      </w:r>
      <w:r w:rsidR="009374D0">
        <w:rPr>
          <w:bCs/>
          <w:iCs/>
        </w:rPr>
        <w:t xml:space="preserve">gasformig </w:t>
      </w:r>
      <w:r>
        <w:rPr>
          <w:bCs/>
          <w:iCs/>
        </w:rPr>
        <w:t xml:space="preserve">vattenmolekyler kommer längre ifrån varandra och den relativa fuktigheten sjunker därmed. Det omvända sker när luften avkyls, volymen minskar och </w:t>
      </w:r>
      <w:r w:rsidR="009374D0">
        <w:rPr>
          <w:bCs/>
          <w:iCs/>
        </w:rPr>
        <w:t xml:space="preserve">de gasformiga </w:t>
      </w:r>
      <w:r>
        <w:rPr>
          <w:bCs/>
          <w:iCs/>
        </w:rPr>
        <w:t>vattenmolekylerna närmar sig</w:t>
      </w:r>
      <w:r w:rsidRPr="00A80A44">
        <w:rPr>
          <w:bCs/>
          <w:iCs/>
        </w:rPr>
        <w:t xml:space="preserve"> </w:t>
      </w:r>
      <w:r w:rsidR="009374D0">
        <w:rPr>
          <w:bCs/>
          <w:iCs/>
        </w:rPr>
        <w:t xml:space="preserve">åter varandra och kan i vissa fall kondenseras till vatten </w:t>
      </w:r>
      <w:r w:rsidR="007D0060">
        <w:rPr>
          <w:bCs/>
          <w:iCs/>
        </w:rPr>
        <w:t xml:space="preserve">och </w:t>
      </w:r>
      <w:r w:rsidR="009374D0">
        <w:rPr>
          <w:bCs/>
          <w:iCs/>
        </w:rPr>
        <w:t xml:space="preserve">som vi </w:t>
      </w:r>
      <w:r w:rsidR="007D0060">
        <w:rPr>
          <w:bCs/>
          <w:iCs/>
        </w:rPr>
        <w:t xml:space="preserve">då </w:t>
      </w:r>
      <w:r w:rsidR="009374D0">
        <w:rPr>
          <w:bCs/>
          <w:iCs/>
        </w:rPr>
        <w:t>uppfattar som dagg.</w:t>
      </w:r>
    </w:p>
    <w:p w:rsidR="00F70CD9" w:rsidRDefault="00F70CD9" w:rsidP="00F70CD9">
      <w:pPr>
        <w:rPr>
          <w:bCs/>
          <w:iCs/>
        </w:rPr>
      </w:pPr>
    </w:p>
    <w:p w:rsidR="00F70CD9" w:rsidRDefault="00F70CD9" w:rsidP="00F70CD9">
      <w:pPr>
        <w:rPr>
          <w:color w:val="000000"/>
        </w:rPr>
      </w:pPr>
      <w:r>
        <w:rPr>
          <w:bCs/>
          <w:iCs/>
        </w:rPr>
        <w:t xml:space="preserve">Avkylningen av luften får även andra effekter nu när vi närmar oss sommaren. Har ni funderat på varför det nästan alltid blir lugnt och stilla kvällstid trots att vinden friskat i dagtid under vackra vår och sommardagar? </w:t>
      </w:r>
      <w:r w:rsidR="009374D0">
        <w:rPr>
          <w:bCs/>
          <w:iCs/>
        </w:rPr>
        <w:t>Varför</w:t>
      </w:r>
      <w:r>
        <w:rPr>
          <w:bCs/>
          <w:iCs/>
        </w:rPr>
        <w:t xml:space="preserve"> krusiga sjöar planas ut till spegelblanka ytor? Bortser vi från kustbandets sjöbris ligger förklaringen i</w:t>
      </w:r>
      <w:r>
        <w:rPr>
          <w:color w:val="000000"/>
        </w:rPr>
        <w:t xml:space="preserve"> att vinden, som i högre luftlager är tämligen konstant, under inverkan av solens strålar lättare kan arbeta sig ner mot markskiktet då luften dagtid värms upp. Uppvärmd luft är betydligt lättare att flytta på än kall och tung, således ökar vinden mitt på dagen. Följaktligen får vinden allt svårare att flytta på luftmassan ju närmare kvällen och natten vi kommer då solens strålning minskar och luftmassan sakta kyls av. </w:t>
      </w:r>
    </w:p>
    <w:p w:rsidR="00F70CD9" w:rsidRDefault="00F70CD9" w:rsidP="00F70CD9">
      <w:pPr>
        <w:rPr>
          <w:color w:val="000000"/>
        </w:rPr>
      </w:pPr>
    </w:p>
    <w:p w:rsidR="00DD7926" w:rsidRDefault="009374D0" w:rsidP="00F70CD9">
      <w:pPr>
        <w:rPr>
          <w:color w:val="000000"/>
        </w:rPr>
      </w:pPr>
      <w:r>
        <w:rPr>
          <w:color w:val="000000"/>
        </w:rPr>
        <w:t xml:space="preserve">Månadens högsta temperatur uppmättes under de sista dagarna i april då högtrycket långsamt masat sig ner till Centraleuropa och varm luft drog upp på västsidan av dess centrum </w:t>
      </w:r>
      <w:r w:rsidR="00DD7926">
        <w:rPr>
          <w:color w:val="000000"/>
        </w:rPr>
        <w:t xml:space="preserve">i samband med att ett lågtryck rörde sig norrut över de brittiska öarna. Temperaturen nådde drygt 22 grader i stora delar av Halland den 29 och maxtemperaturen inföll därmed nästan på samma dag som det enda svenska temperaturrekord som innehas av en halländsk station. 1993 noterade nämligen Genevad, i södra Halland, hela 29 grader den 27. Annars är det inget år man vill jämföra vädermässigt då en rekordvarm april och första halvan av maj ersattes av en mycket kall och blöt sommar. </w:t>
      </w:r>
    </w:p>
    <w:p w:rsidR="00DD7926" w:rsidRDefault="00DD7926" w:rsidP="00F70CD9">
      <w:pPr>
        <w:rPr>
          <w:color w:val="000000"/>
        </w:rPr>
      </w:pPr>
    </w:p>
    <w:p w:rsidR="00DD7926" w:rsidRDefault="00DD7926" w:rsidP="00F70CD9">
      <w:pPr>
        <w:rPr>
          <w:color w:val="000000"/>
        </w:rPr>
      </w:pPr>
      <w:r>
        <w:rPr>
          <w:color w:val="000000"/>
        </w:rPr>
        <w:lastRenderedPageBreak/>
        <w:t xml:space="preserve">I den förra krönikan berörde jag kopplingen mellan fina april och maj som följdes av sämre somrar. I skrivande stund är vi inne på det 12 dygnet i maj och vi har haft ett rejält högtrycksinflytande under ca en månads tid med mycket små </w:t>
      </w:r>
      <w:r w:rsidR="003C2821">
        <w:rPr>
          <w:color w:val="000000"/>
        </w:rPr>
        <w:t>nederbördsmängder. Alltmer tyder på att vi kommer gå in i ostadigare period och frågan är bara hur länge den kommer att vara. Tittar man på prognoserna från de olika vädercentra som föreligger spretar förslagen en hel del. Det kan man tolka som om att det finns en stor inneboende osäkerhet i tydandet av atmosfären och utfallet på denna obestämbarhet kan om någon vecka ge en första indikation på hur sommarens första månad juni kommer att fortlöpa.</w:t>
      </w:r>
      <w:r w:rsidR="007D0060">
        <w:rPr>
          <w:color w:val="000000"/>
        </w:rPr>
        <w:t xml:space="preserve"> I nästa krönika vet vi hur utfallet blev och då kommer jag även att kunna slänga kristallkulan åt sidan och tala om hur sommaren blir. Det ni!</w:t>
      </w:r>
    </w:p>
    <w:p w:rsidR="0050458F" w:rsidRDefault="0050458F"/>
    <w:p w:rsidR="0050458F" w:rsidRDefault="0050458F"/>
    <w:p w:rsidR="0050458F" w:rsidRDefault="0050458F"/>
    <w:tbl>
      <w:tblPr>
        <w:tblpPr w:leftFromText="141" w:rightFromText="141" w:vertAnchor="text" w:horzAnchor="margin" w:tblpY="81"/>
        <w:tblW w:w="9610" w:type="dxa"/>
        <w:tblBorders>
          <w:top w:val="single" w:sz="12" w:space="0" w:color="808080"/>
          <w:left w:val="single" w:sz="12" w:space="0" w:color="808080"/>
          <w:bottom w:val="single" w:sz="12" w:space="0" w:color="808080"/>
          <w:right w:val="single" w:sz="12" w:space="0" w:color="808080"/>
          <w:insideH w:val="nil"/>
          <w:insideV w:val="single" w:sz="6" w:space="0" w:color="C0C0C0"/>
        </w:tblBorders>
        <w:tblLayout w:type="fixed"/>
        <w:tblCellMar>
          <w:left w:w="70" w:type="dxa"/>
          <w:right w:w="70" w:type="dxa"/>
        </w:tblCellMar>
        <w:tblLook w:val="00BF"/>
      </w:tblPr>
      <w:tblGrid>
        <w:gridCol w:w="2230"/>
        <w:gridCol w:w="1800"/>
        <w:gridCol w:w="1800"/>
        <w:gridCol w:w="1620"/>
        <w:gridCol w:w="2160"/>
      </w:tblGrid>
      <w:tr w:rsidR="0050458F" w:rsidTr="0050458F">
        <w:tblPrEx>
          <w:tblCellMar>
            <w:top w:w="0" w:type="dxa"/>
            <w:bottom w:w="0" w:type="dxa"/>
          </w:tblCellMar>
        </w:tblPrEx>
        <w:tc>
          <w:tcPr>
            <w:tcW w:w="2230" w:type="dxa"/>
            <w:tcBorders>
              <w:bottom w:val="single" w:sz="6" w:space="0" w:color="808080"/>
            </w:tcBorders>
            <w:shd w:val="solid" w:color="C0C0C0" w:fill="FFFFFF"/>
          </w:tcPr>
          <w:p w:rsidR="0050458F" w:rsidRDefault="0050458F" w:rsidP="0050458F">
            <w:pPr>
              <w:rPr>
                <w:b/>
                <w:i/>
                <w:sz w:val="28"/>
              </w:rPr>
            </w:pPr>
          </w:p>
        </w:tc>
        <w:tc>
          <w:tcPr>
            <w:tcW w:w="1800" w:type="dxa"/>
            <w:tcBorders>
              <w:bottom w:val="single" w:sz="6" w:space="0" w:color="808080"/>
            </w:tcBorders>
          </w:tcPr>
          <w:p w:rsidR="0050458F" w:rsidRDefault="0050458F" w:rsidP="0050458F">
            <w:pPr>
              <w:rPr>
                <w:b/>
                <w:i/>
                <w:sz w:val="28"/>
              </w:rPr>
            </w:pPr>
          </w:p>
        </w:tc>
        <w:tc>
          <w:tcPr>
            <w:tcW w:w="1800" w:type="dxa"/>
            <w:tcBorders>
              <w:bottom w:val="single" w:sz="6" w:space="0" w:color="808080"/>
            </w:tcBorders>
            <w:shd w:val="solid" w:color="C0C0C0" w:fill="FFFFFF"/>
          </w:tcPr>
          <w:p w:rsidR="0050458F" w:rsidRDefault="0050458F" w:rsidP="0050458F">
            <w:pPr>
              <w:rPr>
                <w:b/>
                <w:i/>
                <w:sz w:val="28"/>
              </w:rPr>
            </w:pPr>
          </w:p>
        </w:tc>
        <w:tc>
          <w:tcPr>
            <w:tcW w:w="1620" w:type="dxa"/>
            <w:tcBorders>
              <w:bottom w:val="single" w:sz="6" w:space="0" w:color="808080"/>
            </w:tcBorders>
          </w:tcPr>
          <w:p w:rsidR="0050458F" w:rsidRDefault="0050458F" w:rsidP="0050458F">
            <w:pPr>
              <w:rPr>
                <w:b/>
                <w:i/>
                <w:sz w:val="28"/>
              </w:rPr>
            </w:pPr>
          </w:p>
        </w:tc>
        <w:tc>
          <w:tcPr>
            <w:tcW w:w="2160" w:type="dxa"/>
            <w:tcBorders>
              <w:bottom w:val="single" w:sz="6" w:space="0" w:color="808080"/>
            </w:tcBorders>
            <w:shd w:val="solid" w:color="C0C0C0" w:fill="FFFFFF"/>
          </w:tcPr>
          <w:p w:rsidR="0050458F" w:rsidRDefault="0050458F" w:rsidP="0050458F">
            <w:pPr>
              <w:rPr>
                <w:b/>
                <w:i/>
                <w:sz w:val="28"/>
              </w:rPr>
            </w:pPr>
          </w:p>
        </w:tc>
      </w:tr>
      <w:tr w:rsidR="0050458F" w:rsidTr="0050458F">
        <w:tblPrEx>
          <w:tblCellMar>
            <w:top w:w="0" w:type="dxa"/>
            <w:bottom w:w="0" w:type="dxa"/>
          </w:tblCellMar>
        </w:tblPrEx>
        <w:tc>
          <w:tcPr>
            <w:tcW w:w="2230" w:type="dxa"/>
            <w:tcBorders>
              <w:top w:val="nil"/>
            </w:tcBorders>
            <w:shd w:val="solid" w:color="C0C0C0" w:fill="FFFFFF"/>
          </w:tcPr>
          <w:p w:rsidR="0050458F" w:rsidRPr="005C40D6" w:rsidRDefault="0050458F" w:rsidP="0050458F">
            <w:pPr>
              <w:rPr>
                <w:sz w:val="28"/>
              </w:rPr>
            </w:pPr>
            <w:r>
              <w:rPr>
                <w:sz w:val="28"/>
              </w:rPr>
              <w:t>Eftra 2008</w:t>
            </w:r>
          </w:p>
          <w:p w:rsidR="0050458F" w:rsidRPr="008C4F5C" w:rsidRDefault="0050458F" w:rsidP="0050458F">
            <w:pPr>
              <w:rPr>
                <w:b/>
                <w:color w:val="FF0000"/>
                <w:sz w:val="28"/>
              </w:rPr>
            </w:pPr>
          </w:p>
        </w:tc>
        <w:tc>
          <w:tcPr>
            <w:tcW w:w="1800" w:type="dxa"/>
            <w:tcBorders>
              <w:top w:val="nil"/>
            </w:tcBorders>
          </w:tcPr>
          <w:p w:rsidR="0050458F" w:rsidRPr="008C4F5C" w:rsidRDefault="0050458F" w:rsidP="0050458F">
            <w:pPr>
              <w:rPr>
                <w:b/>
                <w:bCs/>
                <w:i/>
                <w:iCs/>
                <w:sz w:val="28"/>
              </w:rPr>
            </w:pPr>
            <w:r>
              <w:rPr>
                <w:b/>
                <w:bCs/>
                <w:i/>
                <w:iCs/>
                <w:sz w:val="28"/>
              </w:rPr>
              <w:t>+8,2</w:t>
            </w:r>
            <w:r w:rsidRPr="008C4F5C">
              <w:rPr>
                <w:b/>
                <w:bCs/>
                <w:i/>
                <w:iCs/>
                <w:sz w:val="28"/>
              </w:rPr>
              <w:sym w:font="Symbol" w:char="F0B0"/>
            </w:r>
            <w:r w:rsidRPr="008C4F5C">
              <w:rPr>
                <w:b/>
                <w:bCs/>
                <w:i/>
                <w:iCs/>
                <w:sz w:val="28"/>
              </w:rPr>
              <w:t xml:space="preserve"> </w:t>
            </w:r>
            <w:r>
              <w:rPr>
                <w:b/>
                <w:bCs/>
                <w:i/>
                <w:iCs/>
                <w:sz w:val="28"/>
              </w:rPr>
              <w:t>+(5,4</w:t>
            </w:r>
            <w:r w:rsidRPr="008C4F5C">
              <w:rPr>
                <w:b/>
                <w:bCs/>
                <w:i/>
                <w:iCs/>
                <w:sz w:val="28"/>
              </w:rPr>
              <w:sym w:font="Symbol" w:char="F0B0"/>
            </w:r>
            <w:r w:rsidRPr="008C4F5C">
              <w:rPr>
                <w:b/>
                <w:bCs/>
                <w:i/>
                <w:iCs/>
                <w:sz w:val="28"/>
              </w:rPr>
              <w:t>)</w:t>
            </w:r>
          </w:p>
        </w:tc>
        <w:tc>
          <w:tcPr>
            <w:tcW w:w="1800" w:type="dxa"/>
            <w:tcBorders>
              <w:top w:val="nil"/>
            </w:tcBorders>
            <w:shd w:val="solid" w:color="C0C0C0" w:fill="FFFFFF"/>
          </w:tcPr>
          <w:p w:rsidR="0050458F" w:rsidRPr="008C4F5C" w:rsidRDefault="0050458F" w:rsidP="0050458F">
            <w:pPr>
              <w:rPr>
                <w:b/>
                <w:bCs/>
                <w:i/>
                <w:iCs/>
                <w:sz w:val="28"/>
              </w:rPr>
            </w:pPr>
            <w:r>
              <w:rPr>
                <w:b/>
                <w:bCs/>
                <w:i/>
                <w:iCs/>
                <w:sz w:val="28"/>
              </w:rPr>
              <w:t>+21,9</w:t>
            </w:r>
            <w:r w:rsidRPr="008C4F5C">
              <w:rPr>
                <w:b/>
                <w:bCs/>
                <w:i/>
                <w:iCs/>
                <w:sz w:val="28"/>
              </w:rPr>
              <w:sym w:font="Symbol" w:char="F0B0"/>
            </w:r>
            <w:r>
              <w:rPr>
                <w:b/>
                <w:bCs/>
                <w:i/>
                <w:iCs/>
                <w:sz w:val="28"/>
              </w:rPr>
              <w:t xml:space="preserve"> den 29</w:t>
            </w:r>
          </w:p>
        </w:tc>
        <w:tc>
          <w:tcPr>
            <w:tcW w:w="1620" w:type="dxa"/>
            <w:tcBorders>
              <w:top w:val="nil"/>
            </w:tcBorders>
          </w:tcPr>
          <w:p w:rsidR="0050458F" w:rsidRPr="008C4F5C" w:rsidRDefault="00D33542" w:rsidP="0050458F">
            <w:pPr>
              <w:rPr>
                <w:b/>
                <w:bCs/>
                <w:i/>
                <w:iCs/>
                <w:sz w:val="28"/>
              </w:rPr>
            </w:pPr>
            <w:r>
              <w:rPr>
                <w:b/>
                <w:bCs/>
                <w:i/>
                <w:iCs/>
                <w:sz w:val="28"/>
              </w:rPr>
              <w:t xml:space="preserve">– </w:t>
            </w:r>
            <w:r w:rsidR="0050458F">
              <w:rPr>
                <w:b/>
                <w:bCs/>
                <w:i/>
                <w:iCs/>
                <w:sz w:val="28"/>
              </w:rPr>
              <w:t>0,8</w:t>
            </w:r>
            <w:r w:rsidR="0050458F" w:rsidRPr="008C4F5C">
              <w:rPr>
                <w:b/>
                <w:bCs/>
                <w:i/>
                <w:iCs/>
                <w:sz w:val="28"/>
              </w:rPr>
              <w:sym w:font="Symbol" w:char="F0B0"/>
            </w:r>
            <w:r w:rsidR="0050458F">
              <w:rPr>
                <w:b/>
                <w:bCs/>
                <w:i/>
                <w:iCs/>
                <w:sz w:val="28"/>
              </w:rPr>
              <w:t xml:space="preserve"> den 11</w:t>
            </w:r>
          </w:p>
        </w:tc>
        <w:tc>
          <w:tcPr>
            <w:tcW w:w="2160" w:type="dxa"/>
            <w:tcBorders>
              <w:top w:val="nil"/>
            </w:tcBorders>
            <w:shd w:val="solid" w:color="C0C0C0" w:fill="FFFFFF"/>
          </w:tcPr>
          <w:p w:rsidR="0050458F" w:rsidRPr="008C4F5C" w:rsidRDefault="0050458F" w:rsidP="00DE7E9D">
            <w:pPr>
              <w:rPr>
                <w:b/>
                <w:bCs/>
                <w:i/>
                <w:iCs/>
                <w:sz w:val="28"/>
              </w:rPr>
            </w:pPr>
            <w:r>
              <w:rPr>
                <w:b/>
                <w:bCs/>
                <w:i/>
                <w:iCs/>
                <w:sz w:val="28"/>
              </w:rPr>
              <w:t>2</w:t>
            </w:r>
            <w:r w:rsidR="00DE7E9D">
              <w:rPr>
                <w:b/>
                <w:bCs/>
                <w:i/>
                <w:iCs/>
                <w:sz w:val="28"/>
              </w:rPr>
              <w:t>5</w:t>
            </w:r>
            <w:r>
              <w:rPr>
                <w:b/>
                <w:bCs/>
                <w:i/>
                <w:iCs/>
                <w:sz w:val="28"/>
              </w:rPr>
              <w:t xml:space="preserve"> mm (45</w:t>
            </w:r>
            <w:r w:rsidRPr="008C4F5C">
              <w:rPr>
                <w:b/>
                <w:bCs/>
                <w:i/>
                <w:iCs/>
                <w:sz w:val="28"/>
              </w:rPr>
              <w:t>)</w:t>
            </w:r>
          </w:p>
        </w:tc>
      </w:tr>
      <w:tr w:rsidR="0050458F" w:rsidTr="0050458F">
        <w:tblPrEx>
          <w:tblCellMar>
            <w:top w:w="0" w:type="dxa"/>
            <w:bottom w:w="0" w:type="dxa"/>
          </w:tblCellMar>
        </w:tblPrEx>
        <w:trPr>
          <w:trHeight w:val="387"/>
        </w:trPr>
        <w:tc>
          <w:tcPr>
            <w:tcW w:w="2230" w:type="dxa"/>
            <w:shd w:val="solid" w:color="C0C0C0" w:fill="FFFFFF"/>
          </w:tcPr>
          <w:p w:rsidR="0050458F" w:rsidRPr="008C4F5C" w:rsidRDefault="0050458F" w:rsidP="0050458F">
            <w:pPr>
              <w:pStyle w:val="Rubrik1"/>
            </w:pPr>
            <w:r>
              <w:t>2007</w:t>
            </w:r>
          </w:p>
        </w:tc>
        <w:tc>
          <w:tcPr>
            <w:tcW w:w="1800" w:type="dxa"/>
          </w:tcPr>
          <w:p w:rsidR="0050458F" w:rsidRPr="008C4F5C" w:rsidRDefault="0050458F" w:rsidP="0050458F">
            <w:pPr>
              <w:rPr>
                <w:b/>
                <w:bCs/>
                <w:i/>
                <w:iCs/>
                <w:sz w:val="28"/>
              </w:rPr>
            </w:pPr>
            <w:r>
              <w:rPr>
                <w:b/>
                <w:bCs/>
                <w:i/>
                <w:iCs/>
                <w:sz w:val="28"/>
              </w:rPr>
              <w:t>+9,0</w:t>
            </w:r>
          </w:p>
        </w:tc>
        <w:tc>
          <w:tcPr>
            <w:tcW w:w="1800" w:type="dxa"/>
            <w:shd w:val="solid" w:color="C0C0C0" w:fill="FFFFFF"/>
          </w:tcPr>
          <w:p w:rsidR="0050458F" w:rsidRPr="008C4F5C" w:rsidRDefault="0050458F" w:rsidP="0050458F">
            <w:pPr>
              <w:rPr>
                <w:b/>
                <w:bCs/>
                <w:i/>
                <w:iCs/>
                <w:sz w:val="28"/>
              </w:rPr>
            </w:pPr>
          </w:p>
        </w:tc>
        <w:tc>
          <w:tcPr>
            <w:tcW w:w="1620" w:type="dxa"/>
          </w:tcPr>
          <w:p w:rsidR="0050458F" w:rsidRPr="008C4F5C" w:rsidRDefault="0050458F" w:rsidP="0050458F">
            <w:pPr>
              <w:rPr>
                <w:b/>
                <w:bCs/>
                <w:i/>
                <w:iCs/>
                <w:sz w:val="28"/>
              </w:rPr>
            </w:pPr>
          </w:p>
        </w:tc>
        <w:tc>
          <w:tcPr>
            <w:tcW w:w="2160" w:type="dxa"/>
            <w:shd w:val="solid" w:color="C0C0C0" w:fill="FFFFFF"/>
          </w:tcPr>
          <w:p w:rsidR="0050458F" w:rsidRPr="008C4F5C" w:rsidRDefault="0050458F" w:rsidP="0050458F">
            <w:pPr>
              <w:rPr>
                <w:b/>
                <w:bCs/>
                <w:i/>
                <w:iCs/>
                <w:sz w:val="28"/>
              </w:rPr>
            </w:pPr>
            <w:r>
              <w:rPr>
                <w:b/>
                <w:bCs/>
                <w:i/>
                <w:iCs/>
                <w:sz w:val="28"/>
              </w:rPr>
              <w:t>28</w:t>
            </w:r>
          </w:p>
        </w:tc>
      </w:tr>
      <w:tr w:rsidR="0050458F" w:rsidTr="0050458F">
        <w:tblPrEx>
          <w:tblCellMar>
            <w:top w:w="0" w:type="dxa"/>
            <w:bottom w:w="0" w:type="dxa"/>
          </w:tblCellMar>
        </w:tblPrEx>
        <w:trPr>
          <w:trHeight w:val="387"/>
        </w:trPr>
        <w:tc>
          <w:tcPr>
            <w:tcW w:w="2230" w:type="dxa"/>
            <w:shd w:val="solid" w:color="C0C0C0" w:fill="FFFFFF"/>
          </w:tcPr>
          <w:p w:rsidR="0050458F" w:rsidRPr="005C40D6" w:rsidRDefault="0050458F" w:rsidP="0050458F">
            <w:pPr>
              <w:pStyle w:val="Rubrik1"/>
              <w:rPr>
                <w:b w:val="0"/>
                <w:sz w:val="28"/>
                <w:szCs w:val="28"/>
              </w:rPr>
            </w:pPr>
            <w:r>
              <w:rPr>
                <w:b w:val="0"/>
                <w:sz w:val="28"/>
                <w:szCs w:val="28"/>
              </w:rPr>
              <w:t>Ullared 2008</w:t>
            </w:r>
          </w:p>
          <w:p w:rsidR="0050458F" w:rsidRDefault="0050458F" w:rsidP="0050458F"/>
        </w:tc>
        <w:tc>
          <w:tcPr>
            <w:tcW w:w="1800" w:type="dxa"/>
          </w:tcPr>
          <w:p w:rsidR="0050458F" w:rsidRPr="008C4F5C" w:rsidRDefault="0050458F" w:rsidP="0050458F">
            <w:pPr>
              <w:rPr>
                <w:b/>
                <w:bCs/>
                <w:i/>
                <w:iCs/>
                <w:sz w:val="28"/>
              </w:rPr>
            </w:pPr>
            <w:r>
              <w:rPr>
                <w:b/>
                <w:bCs/>
                <w:i/>
                <w:iCs/>
                <w:sz w:val="28"/>
              </w:rPr>
              <w:t>+ingen uppgift</w:t>
            </w:r>
            <w:r w:rsidRPr="008C4F5C">
              <w:rPr>
                <w:b/>
                <w:bCs/>
                <w:i/>
                <w:iCs/>
                <w:sz w:val="28"/>
              </w:rPr>
              <w:sym w:font="Symbol" w:char="F0B0"/>
            </w:r>
            <w:r>
              <w:rPr>
                <w:b/>
                <w:bCs/>
                <w:i/>
                <w:iCs/>
                <w:sz w:val="28"/>
              </w:rPr>
              <w:t xml:space="preserve"> (4,6</w:t>
            </w:r>
            <w:r w:rsidRPr="008C4F5C">
              <w:rPr>
                <w:b/>
                <w:bCs/>
                <w:i/>
                <w:iCs/>
                <w:sz w:val="28"/>
              </w:rPr>
              <w:sym w:font="Symbol" w:char="F0B0"/>
            </w:r>
            <w:r w:rsidRPr="008C4F5C">
              <w:rPr>
                <w:b/>
                <w:bCs/>
                <w:i/>
                <w:iCs/>
                <w:sz w:val="28"/>
              </w:rPr>
              <w:t>)</w:t>
            </w:r>
          </w:p>
        </w:tc>
        <w:tc>
          <w:tcPr>
            <w:tcW w:w="1800" w:type="dxa"/>
            <w:shd w:val="solid" w:color="C0C0C0" w:fill="FFFFFF"/>
          </w:tcPr>
          <w:p w:rsidR="0050458F" w:rsidRPr="008C4F5C" w:rsidRDefault="0050458F" w:rsidP="0050458F">
            <w:pPr>
              <w:rPr>
                <w:b/>
                <w:bCs/>
                <w:i/>
                <w:iCs/>
                <w:sz w:val="28"/>
              </w:rPr>
            </w:pPr>
            <w:r>
              <w:rPr>
                <w:b/>
                <w:bCs/>
                <w:i/>
                <w:iCs/>
                <w:sz w:val="28"/>
              </w:rPr>
              <w:t>+22,9</w:t>
            </w:r>
            <w:r w:rsidRPr="008C4F5C">
              <w:rPr>
                <w:b/>
                <w:bCs/>
                <w:i/>
                <w:iCs/>
                <w:sz w:val="28"/>
              </w:rPr>
              <w:sym w:font="Symbol" w:char="F0B0"/>
            </w:r>
            <w:r>
              <w:rPr>
                <w:b/>
                <w:bCs/>
                <w:i/>
                <w:iCs/>
                <w:sz w:val="28"/>
              </w:rPr>
              <w:t xml:space="preserve"> den28</w:t>
            </w:r>
          </w:p>
        </w:tc>
        <w:tc>
          <w:tcPr>
            <w:tcW w:w="1620" w:type="dxa"/>
          </w:tcPr>
          <w:p w:rsidR="0050458F" w:rsidRPr="008C4F5C" w:rsidRDefault="00D33542" w:rsidP="0050458F">
            <w:pPr>
              <w:rPr>
                <w:b/>
                <w:bCs/>
                <w:i/>
                <w:iCs/>
                <w:sz w:val="28"/>
              </w:rPr>
            </w:pPr>
            <w:r>
              <w:rPr>
                <w:b/>
                <w:bCs/>
                <w:i/>
                <w:iCs/>
                <w:sz w:val="28"/>
              </w:rPr>
              <w:t xml:space="preserve">– </w:t>
            </w:r>
            <w:r w:rsidR="0050458F">
              <w:rPr>
                <w:b/>
                <w:bCs/>
                <w:i/>
                <w:iCs/>
                <w:sz w:val="28"/>
              </w:rPr>
              <w:t>6,5</w:t>
            </w:r>
            <w:r w:rsidR="0050458F" w:rsidRPr="008C4F5C">
              <w:rPr>
                <w:b/>
                <w:bCs/>
                <w:i/>
                <w:iCs/>
                <w:sz w:val="28"/>
              </w:rPr>
              <w:sym w:font="Symbol" w:char="F0B0"/>
            </w:r>
            <w:r w:rsidR="0050458F">
              <w:rPr>
                <w:b/>
                <w:bCs/>
                <w:i/>
                <w:iCs/>
                <w:sz w:val="28"/>
              </w:rPr>
              <w:t xml:space="preserve"> den 11</w:t>
            </w:r>
          </w:p>
        </w:tc>
        <w:tc>
          <w:tcPr>
            <w:tcW w:w="2160" w:type="dxa"/>
            <w:shd w:val="solid" w:color="C0C0C0" w:fill="FFFFFF"/>
          </w:tcPr>
          <w:p w:rsidR="0050458F" w:rsidRPr="008C4F5C" w:rsidRDefault="0050458F" w:rsidP="0050458F">
            <w:pPr>
              <w:rPr>
                <w:b/>
                <w:bCs/>
                <w:i/>
                <w:iCs/>
                <w:sz w:val="28"/>
              </w:rPr>
            </w:pPr>
            <w:r>
              <w:rPr>
                <w:b/>
                <w:bCs/>
                <w:i/>
                <w:iCs/>
                <w:sz w:val="28"/>
              </w:rPr>
              <w:t>28 mm (54</w:t>
            </w:r>
            <w:r w:rsidRPr="008C4F5C">
              <w:rPr>
                <w:b/>
                <w:bCs/>
                <w:i/>
                <w:iCs/>
                <w:sz w:val="28"/>
              </w:rPr>
              <w:t>)</w:t>
            </w:r>
          </w:p>
        </w:tc>
      </w:tr>
      <w:tr w:rsidR="0050458F" w:rsidTr="0050458F">
        <w:tblPrEx>
          <w:tblCellMar>
            <w:top w:w="0" w:type="dxa"/>
            <w:bottom w:w="0" w:type="dxa"/>
          </w:tblCellMar>
        </w:tblPrEx>
        <w:trPr>
          <w:trHeight w:val="387"/>
        </w:trPr>
        <w:tc>
          <w:tcPr>
            <w:tcW w:w="2230" w:type="dxa"/>
            <w:shd w:val="solid" w:color="C0C0C0" w:fill="FFFFFF"/>
          </w:tcPr>
          <w:p w:rsidR="0050458F" w:rsidRDefault="0050458F" w:rsidP="0050458F">
            <w:pPr>
              <w:pStyle w:val="Rubrik1"/>
            </w:pPr>
            <w:r>
              <w:t>2007</w:t>
            </w:r>
          </w:p>
        </w:tc>
        <w:tc>
          <w:tcPr>
            <w:tcW w:w="1800" w:type="dxa"/>
          </w:tcPr>
          <w:p w:rsidR="0050458F" w:rsidRPr="008C4F5C" w:rsidRDefault="0050458F" w:rsidP="0050458F">
            <w:pPr>
              <w:rPr>
                <w:b/>
                <w:bCs/>
                <w:i/>
                <w:iCs/>
                <w:sz w:val="28"/>
              </w:rPr>
            </w:pPr>
            <w:r>
              <w:rPr>
                <w:b/>
                <w:bCs/>
                <w:i/>
                <w:iCs/>
                <w:sz w:val="28"/>
              </w:rPr>
              <w:t>+6,7</w:t>
            </w:r>
          </w:p>
        </w:tc>
        <w:tc>
          <w:tcPr>
            <w:tcW w:w="1800" w:type="dxa"/>
            <w:shd w:val="solid" w:color="C0C0C0" w:fill="FFFFFF"/>
          </w:tcPr>
          <w:p w:rsidR="0050458F" w:rsidRPr="008C4F5C" w:rsidRDefault="0050458F" w:rsidP="0050458F">
            <w:pPr>
              <w:rPr>
                <w:b/>
                <w:bCs/>
                <w:i/>
                <w:iCs/>
                <w:sz w:val="28"/>
              </w:rPr>
            </w:pPr>
          </w:p>
        </w:tc>
        <w:tc>
          <w:tcPr>
            <w:tcW w:w="1620" w:type="dxa"/>
          </w:tcPr>
          <w:p w:rsidR="0050458F" w:rsidRPr="008C4F5C" w:rsidRDefault="0050458F" w:rsidP="0050458F">
            <w:pPr>
              <w:rPr>
                <w:b/>
                <w:bCs/>
                <w:i/>
                <w:iCs/>
                <w:sz w:val="28"/>
              </w:rPr>
            </w:pPr>
          </w:p>
        </w:tc>
        <w:tc>
          <w:tcPr>
            <w:tcW w:w="2160" w:type="dxa"/>
            <w:shd w:val="solid" w:color="C0C0C0" w:fill="FFFFFF"/>
          </w:tcPr>
          <w:p w:rsidR="0050458F" w:rsidRPr="008C4F5C" w:rsidRDefault="0050458F" w:rsidP="0050458F">
            <w:pPr>
              <w:rPr>
                <w:b/>
                <w:bCs/>
                <w:i/>
                <w:iCs/>
                <w:sz w:val="28"/>
              </w:rPr>
            </w:pPr>
          </w:p>
        </w:tc>
      </w:tr>
      <w:tr w:rsidR="0050458F" w:rsidTr="0050458F">
        <w:tblPrEx>
          <w:tblCellMar>
            <w:top w:w="0" w:type="dxa"/>
            <w:bottom w:w="0" w:type="dxa"/>
          </w:tblCellMar>
        </w:tblPrEx>
        <w:trPr>
          <w:trHeight w:val="387"/>
        </w:trPr>
        <w:tc>
          <w:tcPr>
            <w:tcW w:w="2230" w:type="dxa"/>
            <w:shd w:val="solid" w:color="C0C0C0" w:fill="FFFFFF"/>
          </w:tcPr>
          <w:p w:rsidR="0050458F" w:rsidRPr="005C40D6" w:rsidRDefault="0050458F" w:rsidP="0050458F">
            <w:pPr>
              <w:pStyle w:val="Rubrik2"/>
              <w:rPr>
                <w:rFonts w:ascii="Times New Roman" w:hAnsi="Times New Roman"/>
                <w:b w:val="0"/>
                <w:bCs w:val="0"/>
                <w:i w:val="0"/>
                <w:iCs w:val="0"/>
              </w:rPr>
            </w:pPr>
            <w:r w:rsidRPr="005C40D6">
              <w:rPr>
                <w:rFonts w:ascii="Times New Roman" w:hAnsi="Times New Roman"/>
                <w:b w:val="0"/>
                <w:bCs w:val="0"/>
                <w:i w:val="0"/>
                <w:iCs w:val="0"/>
              </w:rPr>
              <w:t>Träslövsläge 200</w:t>
            </w:r>
            <w:r>
              <w:rPr>
                <w:rFonts w:ascii="Times New Roman" w:hAnsi="Times New Roman"/>
                <w:b w:val="0"/>
                <w:bCs w:val="0"/>
                <w:i w:val="0"/>
                <w:iCs w:val="0"/>
              </w:rPr>
              <w:t>8</w:t>
            </w:r>
          </w:p>
        </w:tc>
        <w:tc>
          <w:tcPr>
            <w:tcW w:w="1800" w:type="dxa"/>
          </w:tcPr>
          <w:p w:rsidR="0050458F" w:rsidRPr="008C4F5C" w:rsidRDefault="0050458F" w:rsidP="0050458F">
            <w:pPr>
              <w:rPr>
                <w:b/>
                <w:bCs/>
                <w:i/>
                <w:iCs/>
                <w:sz w:val="28"/>
              </w:rPr>
            </w:pPr>
            <w:r>
              <w:rPr>
                <w:b/>
                <w:bCs/>
                <w:i/>
                <w:iCs/>
                <w:sz w:val="28"/>
              </w:rPr>
              <w:t>+7,5 +(5,2)</w:t>
            </w:r>
          </w:p>
        </w:tc>
        <w:tc>
          <w:tcPr>
            <w:tcW w:w="1800" w:type="dxa"/>
            <w:shd w:val="solid" w:color="C0C0C0" w:fill="FFFFFF"/>
          </w:tcPr>
          <w:p w:rsidR="0050458F" w:rsidRPr="008C4F5C" w:rsidRDefault="0050458F" w:rsidP="0050458F">
            <w:pPr>
              <w:rPr>
                <w:b/>
                <w:bCs/>
                <w:i/>
                <w:iCs/>
                <w:sz w:val="28"/>
              </w:rPr>
            </w:pPr>
            <w:r>
              <w:rPr>
                <w:b/>
                <w:bCs/>
                <w:i/>
                <w:iCs/>
                <w:sz w:val="28"/>
              </w:rPr>
              <w:t>+ 21,7 den 29</w:t>
            </w:r>
          </w:p>
        </w:tc>
        <w:tc>
          <w:tcPr>
            <w:tcW w:w="1620" w:type="dxa"/>
          </w:tcPr>
          <w:p w:rsidR="0050458F" w:rsidRPr="008C4F5C" w:rsidRDefault="00D33542" w:rsidP="0050458F">
            <w:pPr>
              <w:rPr>
                <w:b/>
                <w:bCs/>
                <w:i/>
                <w:iCs/>
                <w:sz w:val="28"/>
              </w:rPr>
            </w:pPr>
            <w:r>
              <w:rPr>
                <w:b/>
                <w:bCs/>
                <w:i/>
                <w:iCs/>
                <w:sz w:val="28"/>
              </w:rPr>
              <w:t xml:space="preserve">– </w:t>
            </w:r>
            <w:r w:rsidR="0050458F">
              <w:rPr>
                <w:b/>
                <w:bCs/>
                <w:i/>
                <w:iCs/>
                <w:sz w:val="28"/>
              </w:rPr>
              <w:t>0,8 den 21</w:t>
            </w:r>
          </w:p>
        </w:tc>
        <w:tc>
          <w:tcPr>
            <w:tcW w:w="2160" w:type="dxa"/>
            <w:shd w:val="solid" w:color="C0C0C0" w:fill="FFFFFF"/>
          </w:tcPr>
          <w:p w:rsidR="0050458F" w:rsidRPr="008C4F5C" w:rsidRDefault="0050458F" w:rsidP="0050458F">
            <w:pPr>
              <w:rPr>
                <w:b/>
                <w:bCs/>
                <w:i/>
                <w:iCs/>
                <w:sz w:val="28"/>
              </w:rPr>
            </w:pPr>
            <w:r>
              <w:rPr>
                <w:b/>
                <w:bCs/>
                <w:i/>
                <w:iCs/>
                <w:sz w:val="28"/>
              </w:rPr>
              <w:t xml:space="preserve">18 </w:t>
            </w:r>
            <w:r w:rsidR="00D33542">
              <w:rPr>
                <w:b/>
                <w:bCs/>
                <w:i/>
                <w:iCs/>
                <w:sz w:val="28"/>
              </w:rPr>
              <w:t>mm (39</w:t>
            </w:r>
            <w:r>
              <w:rPr>
                <w:b/>
                <w:bCs/>
                <w:i/>
                <w:iCs/>
                <w:sz w:val="28"/>
              </w:rPr>
              <w:t>)</w:t>
            </w:r>
          </w:p>
        </w:tc>
      </w:tr>
      <w:tr w:rsidR="0050458F" w:rsidTr="0050458F">
        <w:tblPrEx>
          <w:tblCellMar>
            <w:top w:w="0" w:type="dxa"/>
            <w:bottom w:w="0" w:type="dxa"/>
          </w:tblCellMar>
        </w:tblPrEx>
        <w:trPr>
          <w:trHeight w:val="387"/>
        </w:trPr>
        <w:tc>
          <w:tcPr>
            <w:tcW w:w="2230" w:type="dxa"/>
            <w:shd w:val="solid" w:color="C0C0C0" w:fill="FFFFFF"/>
          </w:tcPr>
          <w:p w:rsidR="0050458F" w:rsidRDefault="0050458F" w:rsidP="0050458F">
            <w:pPr>
              <w:pStyle w:val="Rubrik1"/>
            </w:pPr>
            <w:r>
              <w:t>2007</w:t>
            </w:r>
          </w:p>
        </w:tc>
        <w:tc>
          <w:tcPr>
            <w:tcW w:w="1800" w:type="dxa"/>
          </w:tcPr>
          <w:p w:rsidR="0050458F" w:rsidRPr="008C4F5C" w:rsidRDefault="0050458F" w:rsidP="0050458F">
            <w:pPr>
              <w:rPr>
                <w:b/>
                <w:bCs/>
                <w:i/>
                <w:iCs/>
                <w:sz w:val="28"/>
              </w:rPr>
            </w:pPr>
            <w:r>
              <w:rPr>
                <w:b/>
                <w:bCs/>
                <w:i/>
                <w:iCs/>
                <w:sz w:val="28"/>
              </w:rPr>
              <w:t>+8,2</w:t>
            </w:r>
          </w:p>
        </w:tc>
        <w:tc>
          <w:tcPr>
            <w:tcW w:w="1800" w:type="dxa"/>
            <w:shd w:val="solid" w:color="C0C0C0" w:fill="FFFFFF"/>
          </w:tcPr>
          <w:p w:rsidR="0050458F" w:rsidRPr="008C4F5C" w:rsidRDefault="0050458F" w:rsidP="0050458F">
            <w:pPr>
              <w:rPr>
                <w:b/>
                <w:bCs/>
                <w:i/>
                <w:iCs/>
                <w:sz w:val="28"/>
              </w:rPr>
            </w:pPr>
          </w:p>
        </w:tc>
        <w:tc>
          <w:tcPr>
            <w:tcW w:w="1620" w:type="dxa"/>
          </w:tcPr>
          <w:p w:rsidR="0050458F" w:rsidRPr="008C4F5C" w:rsidRDefault="0050458F" w:rsidP="0050458F">
            <w:pPr>
              <w:rPr>
                <w:b/>
                <w:bCs/>
                <w:i/>
                <w:iCs/>
                <w:sz w:val="28"/>
              </w:rPr>
            </w:pPr>
          </w:p>
        </w:tc>
        <w:tc>
          <w:tcPr>
            <w:tcW w:w="2160" w:type="dxa"/>
            <w:shd w:val="solid" w:color="C0C0C0" w:fill="FFFFFF"/>
          </w:tcPr>
          <w:p w:rsidR="0050458F" w:rsidRPr="008C4F5C" w:rsidRDefault="0050458F" w:rsidP="0050458F">
            <w:pPr>
              <w:rPr>
                <w:b/>
                <w:bCs/>
                <w:i/>
                <w:iCs/>
                <w:sz w:val="28"/>
              </w:rPr>
            </w:pPr>
            <w:r>
              <w:rPr>
                <w:b/>
                <w:bCs/>
                <w:i/>
                <w:iCs/>
                <w:sz w:val="28"/>
              </w:rPr>
              <w:t>29</w:t>
            </w:r>
          </w:p>
        </w:tc>
      </w:tr>
      <w:tr w:rsidR="0050458F" w:rsidTr="0050458F">
        <w:tblPrEx>
          <w:tblCellMar>
            <w:top w:w="0" w:type="dxa"/>
            <w:bottom w:w="0" w:type="dxa"/>
          </w:tblCellMar>
        </w:tblPrEx>
        <w:trPr>
          <w:trHeight w:val="387"/>
        </w:trPr>
        <w:tc>
          <w:tcPr>
            <w:tcW w:w="2230" w:type="dxa"/>
            <w:shd w:val="solid" w:color="C0C0C0" w:fill="FFFFFF"/>
          </w:tcPr>
          <w:p w:rsidR="0050458F" w:rsidRPr="0050458F" w:rsidRDefault="0050458F" w:rsidP="0050458F"/>
        </w:tc>
        <w:tc>
          <w:tcPr>
            <w:tcW w:w="1800" w:type="dxa"/>
          </w:tcPr>
          <w:p w:rsidR="0050458F" w:rsidRDefault="0050458F" w:rsidP="0050458F">
            <w:pPr>
              <w:rPr>
                <w:b/>
                <w:bCs/>
                <w:i/>
                <w:iCs/>
                <w:sz w:val="28"/>
              </w:rPr>
            </w:pPr>
          </w:p>
        </w:tc>
        <w:tc>
          <w:tcPr>
            <w:tcW w:w="1800" w:type="dxa"/>
            <w:shd w:val="solid" w:color="C0C0C0" w:fill="FFFFFF"/>
          </w:tcPr>
          <w:p w:rsidR="0050458F" w:rsidRPr="008C4F5C" w:rsidRDefault="0050458F" w:rsidP="0050458F">
            <w:pPr>
              <w:rPr>
                <w:b/>
                <w:bCs/>
                <w:i/>
                <w:iCs/>
                <w:sz w:val="28"/>
              </w:rPr>
            </w:pPr>
          </w:p>
        </w:tc>
        <w:tc>
          <w:tcPr>
            <w:tcW w:w="1620" w:type="dxa"/>
          </w:tcPr>
          <w:p w:rsidR="0050458F" w:rsidRPr="008C4F5C" w:rsidRDefault="0050458F" w:rsidP="0050458F">
            <w:pPr>
              <w:rPr>
                <w:b/>
                <w:bCs/>
                <w:i/>
                <w:iCs/>
                <w:sz w:val="28"/>
              </w:rPr>
            </w:pPr>
          </w:p>
        </w:tc>
        <w:tc>
          <w:tcPr>
            <w:tcW w:w="2160" w:type="dxa"/>
            <w:shd w:val="solid" w:color="C0C0C0" w:fill="FFFFFF"/>
          </w:tcPr>
          <w:p w:rsidR="0050458F" w:rsidRDefault="0050458F" w:rsidP="0050458F">
            <w:pPr>
              <w:rPr>
                <w:b/>
                <w:bCs/>
                <w:i/>
                <w:iCs/>
                <w:sz w:val="28"/>
              </w:rPr>
            </w:pPr>
          </w:p>
        </w:tc>
      </w:tr>
    </w:tbl>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p w:rsidR="0050458F" w:rsidRDefault="0050458F"/>
    <w:sectPr w:rsidR="0050458F" w:rsidSect="00062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17288E"/>
    <w:rsid w:val="00062543"/>
    <w:rsid w:val="0017288E"/>
    <w:rsid w:val="00285943"/>
    <w:rsid w:val="003C2821"/>
    <w:rsid w:val="0050458F"/>
    <w:rsid w:val="007A6C63"/>
    <w:rsid w:val="007D0060"/>
    <w:rsid w:val="009374D0"/>
    <w:rsid w:val="00A04D31"/>
    <w:rsid w:val="00D33542"/>
    <w:rsid w:val="00DD7926"/>
    <w:rsid w:val="00DE7E9D"/>
    <w:rsid w:val="00F70C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8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17288E"/>
    <w:pPr>
      <w:keepNext/>
      <w:outlineLvl w:val="0"/>
    </w:pPr>
    <w:rPr>
      <w:b/>
      <w:szCs w:val="20"/>
    </w:rPr>
  </w:style>
  <w:style w:type="paragraph" w:styleId="Rubrik2">
    <w:name w:val="heading 2"/>
    <w:basedOn w:val="Normal"/>
    <w:next w:val="Normal"/>
    <w:link w:val="Rubrik2Char"/>
    <w:qFormat/>
    <w:rsid w:val="0017288E"/>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288E"/>
    <w:rPr>
      <w:rFonts w:ascii="Times New Roman" w:eastAsia="Times New Roman" w:hAnsi="Times New Roman" w:cs="Times New Roman"/>
      <w:b/>
      <w:sz w:val="24"/>
      <w:szCs w:val="20"/>
      <w:lang w:eastAsia="sv-SE"/>
    </w:rPr>
  </w:style>
  <w:style w:type="character" w:customStyle="1" w:styleId="Rubrik2Char">
    <w:name w:val="Rubrik 2 Char"/>
    <w:basedOn w:val="Standardstycketeckensnitt"/>
    <w:link w:val="Rubrik2"/>
    <w:rsid w:val="0017288E"/>
    <w:rPr>
      <w:rFonts w:ascii="Arial" w:eastAsia="Times New Roman" w:hAnsi="Arial" w:cs="Arial"/>
      <w:b/>
      <w:bCs/>
      <w:i/>
      <w:iCs/>
      <w:sz w:val="28"/>
      <w:szCs w:val="28"/>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762</Words>
  <Characters>4042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P-O</cp:lastModifiedBy>
  <cp:revision>8</cp:revision>
  <dcterms:created xsi:type="dcterms:W3CDTF">2008-05-11T20:30:00Z</dcterms:created>
  <dcterms:modified xsi:type="dcterms:W3CDTF">2008-05-11T21:47:00Z</dcterms:modified>
</cp:coreProperties>
</file>